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316" w:type="dxa"/>
        <w:tblInd w:w="-431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7372"/>
        <w:gridCol w:w="5387"/>
        <w:gridCol w:w="2557"/>
      </w:tblGrid>
      <w:tr w:rsidR="00BF1C06" w:rsidRPr="006E5A43" w14:paraId="188DA9C0" w14:textId="77777777" w:rsidTr="006E5A43">
        <w:tc>
          <w:tcPr>
            <w:tcW w:w="12759" w:type="dxa"/>
            <w:gridSpan w:val="2"/>
            <w:shd w:val="clear" w:color="auto" w:fill="DEEAF6" w:themeFill="accent1" w:themeFillTint="33"/>
          </w:tcPr>
          <w:p w14:paraId="4C64C0B8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50423AFE" w14:textId="77777777" w:rsidR="00BF1C06" w:rsidRPr="00A71E31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ПРИНЦИП 9.</w:t>
            </w:r>
            <w:r w:rsidRPr="006E5A43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A71E31">
              <w:rPr>
                <w:rFonts w:ascii="Times New Roman" w:eastAsia="Calibri" w:hAnsi="Times New Roman" w:cs="Times New Roman"/>
                <w:b/>
                <w:lang w:val="ru-RU"/>
              </w:rPr>
              <w:t>УСТОЙЧИВОСТ И ДЪЛГОСРОЧНА ОРИЕНТАЦИЯ</w:t>
            </w:r>
          </w:p>
        </w:tc>
        <w:tc>
          <w:tcPr>
            <w:tcW w:w="2557" w:type="dxa"/>
            <w:shd w:val="clear" w:color="auto" w:fill="DEEAF6" w:themeFill="accent1" w:themeFillTint="33"/>
          </w:tcPr>
          <w:p w14:paraId="17DE0E8C" w14:textId="1C8ECCFC"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A71E31">
              <w:rPr>
                <w:rFonts w:ascii="Times New Roman" w:eastAsia="Calibri" w:hAnsi="Times New Roman" w:cs="Times New Roman"/>
                <w:b/>
                <w:lang w:val="bg-BG"/>
              </w:rPr>
              <w:t>КАСПИЧАН</w:t>
            </w:r>
          </w:p>
          <w:p w14:paraId="3CE0D665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F1C06" w:rsidRPr="006E5A43" w14:paraId="2482F9DF" w14:textId="77777777" w:rsidTr="00426E1B">
        <w:tc>
          <w:tcPr>
            <w:tcW w:w="7372" w:type="dxa"/>
            <w:shd w:val="clear" w:color="auto" w:fill="FFFFFF" w:themeFill="background1"/>
          </w:tcPr>
          <w:p w14:paraId="0DB5E20D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5ADC226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45FDF2D6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6E5A4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3A59DD13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6E5A4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C15AC1" w:rsidRPr="006E5A43" w14:paraId="786923C9" w14:textId="77777777" w:rsidTr="006E5A43">
        <w:tc>
          <w:tcPr>
            <w:tcW w:w="15316" w:type="dxa"/>
            <w:gridSpan w:val="3"/>
            <w:shd w:val="clear" w:color="auto" w:fill="FBE4D5" w:themeFill="accent2" w:themeFillTint="33"/>
          </w:tcPr>
          <w:p w14:paraId="4FB89CEE" w14:textId="77777777" w:rsidR="00C15AC1" w:rsidRPr="006E5A43" w:rsidRDefault="00C15AC1" w:rsidP="006E5A43">
            <w:pPr>
              <w:tabs>
                <w:tab w:val="left" w:pos="4678"/>
              </w:tabs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ДЕЙНОСТ 1. Нуждите на бъдещите поколения са взети под внимание в текущите политики.</w:t>
            </w:r>
          </w:p>
        </w:tc>
      </w:tr>
      <w:tr w:rsidR="00803A49" w:rsidRPr="006E5A43" w14:paraId="442083B3" w14:textId="77777777" w:rsidTr="00426E1B">
        <w:tc>
          <w:tcPr>
            <w:tcW w:w="7372" w:type="dxa"/>
            <w:shd w:val="clear" w:color="auto" w:fill="FFFFFF" w:themeFill="background1"/>
          </w:tcPr>
          <w:p w14:paraId="748EC13D" w14:textId="77777777" w:rsidR="00803A49" w:rsidRPr="006E5A43" w:rsidRDefault="00803A49" w:rsidP="00803A49">
            <w:pPr>
              <w:tabs>
                <w:tab w:val="left" w:pos="4678"/>
              </w:tabs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прилага структуриран подход, ориентиран към планиране на дългосрочно развитие.</w:t>
            </w:r>
          </w:p>
        </w:tc>
        <w:tc>
          <w:tcPr>
            <w:tcW w:w="5387" w:type="dxa"/>
            <w:shd w:val="clear" w:color="auto" w:fill="FFFFFF" w:themeFill="background1"/>
          </w:tcPr>
          <w:p w14:paraId="6C114CF4" w14:textId="4D2EC9B7" w:rsidR="00112477" w:rsidRPr="00112477" w:rsidRDefault="00112477" w:rsidP="0011247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За структуриран подход </w:t>
            </w:r>
            <w:r w:rsidRPr="0011247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свидетелстват плановите документи с дългосрочен характер:  План за интегрирано развитие на община Каспичан 2021-2027; План за управление на община Каспичан за съответния мандат, Общ устройствен план, Програма за опазване на околната среда на Община Каспичан 2020 – 2025 година; Програма за управление на отпадъците на Община Каспичан 2021-2028 г.; Програма за енергийна ефективност на Община Каспичан 2020 - 2025 г. </w:t>
            </w:r>
          </w:p>
          <w:p w14:paraId="65A968AE" w14:textId="77777777" w:rsidR="00803A49" w:rsidRDefault="00112477" w:rsidP="0011247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11247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Стратегическите цели, залегнали в тези документи се транспонират в годишни цели, мерки, инициативи и проекти, способстващи за устойчиво местно развитие в икономически, финансов, социален и екологичен аспект.</w:t>
            </w:r>
          </w:p>
          <w:p w14:paraId="22AD69F1" w14:textId="77777777" w:rsidR="00112477" w:rsidRPr="00112477" w:rsidRDefault="00112477" w:rsidP="0011247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11247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Приоритетите и мерките за устойчиво развитие, залегнали в ПИРО и в стратегическите документи за опазване на околната среда, се транспонират в конкретни инвестиционни проекти, за които се търси финансиране и които намират своята практическа реализация.</w:t>
            </w:r>
          </w:p>
          <w:p w14:paraId="23983EAB" w14:textId="71C60BE7" w:rsidR="00112477" w:rsidRPr="00A71E31" w:rsidRDefault="00112477" w:rsidP="0011247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11247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Изпълнението на дългосрочните планови документи е предмет на мониторинг, оценка и се отчита. Регулярно се отчита и изпълнението на бюджета.</w:t>
            </w:r>
          </w:p>
        </w:tc>
        <w:tc>
          <w:tcPr>
            <w:tcW w:w="2557" w:type="dxa"/>
            <w:shd w:val="clear" w:color="auto" w:fill="FFFFFF" w:themeFill="background1"/>
          </w:tcPr>
          <w:p w14:paraId="22A8E331" w14:textId="382745CC" w:rsidR="00803A49" w:rsidRPr="008573D0" w:rsidRDefault="00A71E31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803A49" w:rsidRPr="006E5A43" w14:paraId="659937AC" w14:textId="77777777" w:rsidTr="00426E1B">
        <w:tc>
          <w:tcPr>
            <w:tcW w:w="7372" w:type="dxa"/>
            <w:shd w:val="clear" w:color="auto" w:fill="FFFFFF" w:themeFill="background1"/>
          </w:tcPr>
          <w:p w14:paraId="2E694D02" w14:textId="77777777" w:rsidR="00803A49" w:rsidRPr="006E5A43" w:rsidRDefault="00803A49" w:rsidP="00803A49">
            <w:pPr>
              <w:tabs>
                <w:tab w:val="left" w:pos="4678"/>
              </w:tabs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Нуждите на бъдещото поколение се отчитат редовно в процеса на планиране</w:t>
            </w:r>
          </w:p>
        </w:tc>
        <w:tc>
          <w:tcPr>
            <w:tcW w:w="5387" w:type="dxa"/>
            <w:shd w:val="clear" w:color="auto" w:fill="FFFFFF" w:themeFill="background1"/>
          </w:tcPr>
          <w:p w14:paraId="18BC1D8C" w14:textId="2602C0F5" w:rsidR="00803A49" w:rsidRPr="00A71E31" w:rsidRDefault="00497DFD" w:rsidP="00A71E31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Нуждите на бъдещото поколение се отчита при планирането като са включени приоритетите: у</w:t>
            </w:r>
            <w:r w:rsidRPr="00497DF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стойчиво оползотворяване на специфичния местен потенциал за развитие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; з</w:t>
            </w:r>
            <w:r w:rsidRPr="00497DF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апазване и подобряване на качеството на околната среда и адаптация към неблагоприятните климатични условия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; и</w:t>
            </w:r>
            <w:r w:rsidRPr="00497DF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нвестиции в образование и умения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; опазване на културното, историческото и социалното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>наследство. Функционират Консултативни съвети, вкл. и Консултативен съвет по младежка политика.</w:t>
            </w:r>
          </w:p>
        </w:tc>
        <w:tc>
          <w:tcPr>
            <w:tcW w:w="2557" w:type="dxa"/>
            <w:shd w:val="clear" w:color="auto" w:fill="FFFFFF" w:themeFill="background1"/>
          </w:tcPr>
          <w:p w14:paraId="03C632D8" w14:textId="4D7D65F6" w:rsidR="00803A49" w:rsidRPr="008573D0" w:rsidRDefault="00A71E31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C15AC1" w:rsidRPr="006E5A43" w14:paraId="2246B41E" w14:textId="77777777" w:rsidTr="006E5A43">
        <w:tc>
          <w:tcPr>
            <w:tcW w:w="15316" w:type="dxa"/>
            <w:gridSpan w:val="3"/>
            <w:shd w:val="clear" w:color="auto" w:fill="FBE4D5" w:themeFill="accent2" w:themeFillTint="33"/>
          </w:tcPr>
          <w:p w14:paraId="41F9ABF5" w14:textId="77777777" w:rsidR="00C15AC1" w:rsidRPr="006E5A43" w:rsidRDefault="00C15AC1" w:rsidP="006E5A43">
            <w:pPr>
              <w:tabs>
                <w:tab w:val="left" w:pos="4678"/>
              </w:tabs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2. Непрекъснато се взима под внимание устойчивото развитие на общността. Решенията са насочени към покриване на всички разходи, като целта е да не се пренасят за бъдещите поколения напрежение и проблеми - били те екологични, структурни, финансови, икономически или социални.</w:t>
            </w:r>
          </w:p>
        </w:tc>
      </w:tr>
      <w:tr w:rsidR="00803A49" w:rsidRPr="006E5A43" w14:paraId="2D99BA13" w14:textId="77777777" w:rsidTr="00426E1B">
        <w:tc>
          <w:tcPr>
            <w:tcW w:w="7372" w:type="dxa"/>
            <w:shd w:val="clear" w:color="auto" w:fill="FFFFFF" w:themeFill="background1"/>
          </w:tcPr>
          <w:p w14:paraId="0D789BC6" w14:textId="77777777" w:rsidR="00803A49" w:rsidRPr="006E5A43" w:rsidRDefault="00803A49" w:rsidP="00803A4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6E5A43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Налице е ясно демонстриран ангажимент на ОбС  и кмет /ръководен екип/  на общината  за постигане на </w:t>
            </w:r>
            <w:r w:rsidRPr="00D6329B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>устойчиво развитие, което е  неразделна част от  разработването на политики и стратегии</w:t>
            </w:r>
            <w:r w:rsidRPr="006E5A43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>, планирането на действия и определянето на цели във всички отдели, функции и предоставяни услуги.</w:t>
            </w:r>
          </w:p>
        </w:tc>
        <w:tc>
          <w:tcPr>
            <w:tcW w:w="5387" w:type="dxa"/>
            <w:shd w:val="clear" w:color="auto" w:fill="FFFFFF" w:themeFill="background1"/>
          </w:tcPr>
          <w:p w14:paraId="66FCA93C" w14:textId="5DEB9376" w:rsidR="00803A49" w:rsidRPr="00A71E31" w:rsidRDefault="007B4010" w:rsidP="007B401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7B401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Представените документи и линкове показват ясно изразена ангажираност на Кмета на община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Каспичан</w:t>
            </w:r>
            <w:r w:rsidRPr="007B401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ОбС за устойчиво местно развитие в екологичен, икономически, културен и социален план. То е в центъра при формирането на политики, целеполагането, разработването на стратегии, планове и програми, изпълняваните проекти и инициативи като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7B401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План за интегрирано развитие на община Каспичан 2021-2027; План за управление на община Каспичан за съответния мандат, Общ устройствен план, Програма за опазване на околната среда на Община Каспичан 2020 – 2025 година; Програма за управление на отпадъците на Община Каспичан 2021-2028 г.; Програма за енергийна ефективност на Община Каспичан 2020 - 2025 г.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, годишни цели, бюджет и капиталова програма към бюджета.</w:t>
            </w:r>
          </w:p>
        </w:tc>
        <w:tc>
          <w:tcPr>
            <w:tcW w:w="2557" w:type="dxa"/>
            <w:shd w:val="clear" w:color="auto" w:fill="FFFFFF" w:themeFill="background1"/>
          </w:tcPr>
          <w:p w14:paraId="05F54661" w14:textId="5FBA06F0" w:rsidR="00803A49" w:rsidRPr="008573D0" w:rsidRDefault="00A71E31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803A49" w:rsidRPr="006E5A43" w14:paraId="57AA857C" w14:textId="77777777" w:rsidTr="00426E1B">
        <w:tc>
          <w:tcPr>
            <w:tcW w:w="7372" w:type="dxa"/>
            <w:shd w:val="clear" w:color="auto" w:fill="FFFFFF" w:themeFill="background1"/>
          </w:tcPr>
          <w:p w14:paraId="7D8445A3" w14:textId="77777777" w:rsidR="00803A49" w:rsidRPr="006E5A43" w:rsidRDefault="00803A49" w:rsidP="00803A4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4. </w:t>
            </w:r>
            <w:r w:rsidRPr="006E5A43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Насочват се специални ресурси и отговорности за включване на устойчивото развитие в различните сфери на дейност (например, създаване на многофункционална работна група с участие на заинтересованите страни).</w:t>
            </w:r>
          </w:p>
        </w:tc>
        <w:tc>
          <w:tcPr>
            <w:tcW w:w="5387" w:type="dxa"/>
            <w:shd w:val="clear" w:color="auto" w:fill="FFFFFF" w:themeFill="background1"/>
          </w:tcPr>
          <w:p w14:paraId="56707D24" w14:textId="1A72668C" w:rsidR="00803A49" w:rsidRPr="00A71E31" w:rsidRDefault="007B4010" w:rsidP="007B401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7B401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Представените доказателства и линкове показват изпълнение на индикатора. В община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Каспичан</w:t>
            </w:r>
            <w:r w:rsidRPr="007B401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са сформирани и функционират Консултативни съвети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: </w:t>
            </w:r>
            <w:r w:rsidRPr="007B401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а) Консултативен съвет по въпросите на туризма, включващ представители на местните власти (община Каспичан, Кметове на кметства, Кметски наместници, представители на музея, представители на туристическия бизнес на територията на общината; (б) Консултативен съвет по въпросите на младежта.. Влагат се ресурси в реализацията на  проекти и инициативи със социална, екологична насоченост</w:t>
            </w:r>
          </w:p>
        </w:tc>
        <w:tc>
          <w:tcPr>
            <w:tcW w:w="2557" w:type="dxa"/>
            <w:shd w:val="clear" w:color="auto" w:fill="FFFFFF" w:themeFill="background1"/>
          </w:tcPr>
          <w:p w14:paraId="347DC2E4" w14:textId="1794AA68" w:rsidR="00803A49" w:rsidRPr="008573D0" w:rsidRDefault="00A71E31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803A49" w:rsidRPr="006E5A43" w14:paraId="598913E1" w14:textId="77777777" w:rsidTr="00426E1B">
        <w:tc>
          <w:tcPr>
            <w:tcW w:w="7372" w:type="dxa"/>
            <w:shd w:val="clear" w:color="auto" w:fill="FFFFFF" w:themeFill="background1"/>
          </w:tcPr>
          <w:p w14:paraId="43CFCC06" w14:textId="77777777" w:rsidR="00803A49" w:rsidRPr="006E5A43" w:rsidRDefault="00803A49" w:rsidP="00803A4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5. Гарантира се, че общинските процеси като управление на изпълнението, одит и анализи осигуряват механизми за обратна връзка и информация за устойчивостта в практиката и изпълнението</w:t>
            </w:r>
          </w:p>
        </w:tc>
        <w:tc>
          <w:tcPr>
            <w:tcW w:w="5387" w:type="dxa"/>
            <w:shd w:val="clear" w:color="auto" w:fill="FFFFFF" w:themeFill="background1"/>
          </w:tcPr>
          <w:p w14:paraId="0244BD13" w14:textId="77777777" w:rsidR="007B4010" w:rsidRDefault="007B4010" w:rsidP="007B401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7B401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Насочват се специални ресурси и отговорности за включване на устойчивото развитие в различните сфери на дейност, сформирани са и функционират Консултативни съвети – Консултативен съвет по туризъм и Консултативен съвет по </w:t>
            </w:r>
            <w:r w:rsidRPr="007B401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 xml:space="preserve">младежка политика. Провеждат се обществени обсъждания на стратегическите документи и инвестиционните проекти. </w:t>
            </w:r>
          </w:p>
          <w:p w14:paraId="0EFF3415" w14:textId="77777777" w:rsidR="00803A49" w:rsidRDefault="007B4010" w:rsidP="007B401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7B401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Към кандидатурата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на община Каспичан </w:t>
            </w:r>
            <w:r w:rsidRPr="007B401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са приложени линкове към покани за обществени обсъждания, снимки и протоколи от проведени обществени обсъждания.</w:t>
            </w:r>
          </w:p>
          <w:p w14:paraId="56951B02" w14:textId="77777777" w:rsidR="007B4010" w:rsidRDefault="007B4010" w:rsidP="007B401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В община Каспичан се извършват редовни външни одити на СУК и към кандидатурата са приложени съответните линкове.</w:t>
            </w:r>
          </w:p>
          <w:p w14:paraId="60812340" w14:textId="77777777" w:rsidR="007B4010" w:rsidRDefault="007B4010" w:rsidP="007B401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Общината е внедрила и реализира модела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CAF</w:t>
            </w:r>
            <w:r w:rsidRPr="007B401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</w:p>
          <w:p w14:paraId="15D2E430" w14:textId="2558F379" w:rsidR="00D6329B" w:rsidRPr="00D6329B" w:rsidRDefault="00D6329B" w:rsidP="007B401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7" w:type="dxa"/>
            <w:shd w:val="clear" w:color="auto" w:fill="FFFFFF" w:themeFill="background1"/>
          </w:tcPr>
          <w:p w14:paraId="5688CF64" w14:textId="180906BE" w:rsidR="00803A49" w:rsidRPr="008573D0" w:rsidRDefault="00A71E31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C15AC1" w:rsidRPr="006E5A43" w14:paraId="159BA501" w14:textId="77777777" w:rsidTr="006E5A43">
        <w:tc>
          <w:tcPr>
            <w:tcW w:w="15316" w:type="dxa"/>
            <w:gridSpan w:val="3"/>
            <w:shd w:val="clear" w:color="auto" w:fill="FBE4D5" w:themeFill="accent2" w:themeFillTint="33"/>
          </w:tcPr>
          <w:p w14:paraId="7ACC95CC" w14:textId="77777777" w:rsidR="00C15AC1" w:rsidRPr="006E5A43" w:rsidRDefault="00C15AC1" w:rsidP="006E5A43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3: Налице е широка и дългосрочна перспектива за бъдещето на местната общност, като се мисли за това от какво се нуждае тя, за да се постигне добро бъдещо развитие.</w:t>
            </w:r>
          </w:p>
        </w:tc>
      </w:tr>
      <w:tr w:rsidR="00803A49" w:rsidRPr="006E5A43" w14:paraId="09963389" w14:textId="77777777" w:rsidTr="00426E1B">
        <w:tc>
          <w:tcPr>
            <w:tcW w:w="7372" w:type="dxa"/>
            <w:shd w:val="clear" w:color="auto" w:fill="auto"/>
          </w:tcPr>
          <w:p w14:paraId="0F15CE70" w14:textId="77777777" w:rsidR="00803A49" w:rsidRPr="006E5A43" w:rsidRDefault="00803A49" w:rsidP="00803A4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6. Прилага се подход на широко обществено участие във вземането на решения за устойчиво развитие.</w:t>
            </w:r>
          </w:p>
        </w:tc>
        <w:tc>
          <w:tcPr>
            <w:tcW w:w="5387" w:type="dxa"/>
            <w:shd w:val="clear" w:color="auto" w:fill="FFFFFF" w:themeFill="background1"/>
          </w:tcPr>
          <w:p w14:paraId="6CA220C1" w14:textId="77777777" w:rsidR="00776C56" w:rsidRDefault="00B15991" w:rsidP="00B1599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B1599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Представените документи и хипервръзки показват, че се провеждат обществени обсъждания на плановите документи, нормативните документи, бюджета. </w:t>
            </w:r>
          </w:p>
          <w:p w14:paraId="5F2C6E2C" w14:textId="468B64AD" w:rsidR="00776C56" w:rsidRDefault="00B15991" w:rsidP="00B1599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B1599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На Интернет страницата на общината и в медиите се публикуват покани до гражданите за предстоящи обществени обсъждания. Функционират консултативни съвети. </w:t>
            </w:r>
          </w:p>
          <w:p w14:paraId="529D6592" w14:textId="73CB73F5" w:rsidR="00803A49" w:rsidRPr="00A71E31" w:rsidRDefault="00B15991" w:rsidP="00B1599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B1599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В този смисъл може да се направи извода, че се прилага подход на обществено участие във вземането на решения.</w:t>
            </w:r>
          </w:p>
        </w:tc>
        <w:tc>
          <w:tcPr>
            <w:tcW w:w="2557" w:type="dxa"/>
            <w:shd w:val="clear" w:color="auto" w:fill="FFFFFF" w:themeFill="background1"/>
          </w:tcPr>
          <w:p w14:paraId="7B4E656E" w14:textId="04749832" w:rsidR="00803A49" w:rsidRPr="008573D0" w:rsidRDefault="00A71E31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803A49" w:rsidRPr="006E5A43" w14:paraId="3DC2965A" w14:textId="77777777" w:rsidTr="00426E1B">
        <w:tc>
          <w:tcPr>
            <w:tcW w:w="7372" w:type="dxa"/>
            <w:shd w:val="clear" w:color="auto" w:fill="auto"/>
          </w:tcPr>
          <w:p w14:paraId="6243CAEF" w14:textId="77777777" w:rsidR="00803A49" w:rsidRPr="006E5A43" w:rsidRDefault="00803A49" w:rsidP="00803A4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7. Изпълнява се инвестиционен финансов план, гарантиращ дългосрочна жизнеспособност на общинската инфраструктура и активи.</w:t>
            </w:r>
          </w:p>
        </w:tc>
        <w:tc>
          <w:tcPr>
            <w:tcW w:w="5387" w:type="dxa"/>
            <w:shd w:val="clear" w:color="auto" w:fill="FFFFFF" w:themeFill="background1"/>
          </w:tcPr>
          <w:p w14:paraId="0C66F249" w14:textId="77777777" w:rsidR="00776C56" w:rsidRDefault="00B15991" w:rsidP="00B1599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B1599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Изпълнява се инвестиционен финансов план, гарантиращ дългосрочна жизнеспособност на общинската инфраструктура и активи. </w:t>
            </w:r>
          </w:p>
          <w:p w14:paraId="48BCB51C" w14:textId="22CF7923" w:rsidR="00B15991" w:rsidRDefault="00B15991" w:rsidP="00B1599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B1599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Видно от документацията и приложените линкове е, че се реализират инвестиционни инфраструктурни проекти в съответствие с ПИРО, които целят подобряване на средата на живот и бизнес в общината и са с дългосрочна ориентация. </w:t>
            </w:r>
          </w:p>
          <w:p w14:paraId="5DCD2D8E" w14:textId="25EE79A0" w:rsidR="00803A49" w:rsidRPr="00A71E31" w:rsidRDefault="00B15991" w:rsidP="00B1599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B1599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Инфраструктурни проекти се финансират и реализират и чрез Капиталовата програма на общината съобразно направени разчети за финансиране на капиталовите разходи </w:t>
            </w:r>
            <w:r w:rsidRPr="00B1599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>и поименно разпределение на разходите за придобиване на ДМА и основен ремонт.</w:t>
            </w:r>
          </w:p>
        </w:tc>
        <w:tc>
          <w:tcPr>
            <w:tcW w:w="2557" w:type="dxa"/>
            <w:shd w:val="clear" w:color="auto" w:fill="FFFFFF" w:themeFill="background1"/>
          </w:tcPr>
          <w:p w14:paraId="23598EA8" w14:textId="00A0B249" w:rsidR="00803A49" w:rsidRPr="008573D0" w:rsidRDefault="00A71E31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8028A5" w:rsidRPr="006E5A43" w14:paraId="6CE55E79" w14:textId="77777777" w:rsidTr="006E5A43">
        <w:tc>
          <w:tcPr>
            <w:tcW w:w="15316" w:type="dxa"/>
            <w:gridSpan w:val="3"/>
            <w:shd w:val="clear" w:color="auto" w:fill="FBE4D5" w:themeFill="accent2" w:themeFillTint="33"/>
          </w:tcPr>
          <w:p w14:paraId="6D0ED3EF" w14:textId="77777777" w:rsidR="008028A5" w:rsidRPr="006E5A43" w:rsidRDefault="008028A5" w:rsidP="006E5A43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4: Налице е разбиране за историческите, културните и социални обвързаности, на които се основава дългосрочната перспектива за бъдещето на местната общност.</w:t>
            </w:r>
          </w:p>
        </w:tc>
      </w:tr>
      <w:tr w:rsidR="00803A49" w:rsidRPr="006E5A43" w14:paraId="27F646E2" w14:textId="77777777" w:rsidTr="00426E1B">
        <w:tc>
          <w:tcPr>
            <w:tcW w:w="7372" w:type="dxa"/>
            <w:shd w:val="clear" w:color="auto" w:fill="FFFFFF" w:themeFill="background1"/>
          </w:tcPr>
          <w:p w14:paraId="36664277" w14:textId="77777777" w:rsidR="00803A49" w:rsidRPr="006E5A43" w:rsidRDefault="00803A49" w:rsidP="00803A4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8. Прилага се структуриран планов подход за запазване на историческите, културните и социалните ценности на общината.</w:t>
            </w:r>
          </w:p>
        </w:tc>
        <w:tc>
          <w:tcPr>
            <w:tcW w:w="5387" w:type="dxa"/>
            <w:shd w:val="clear" w:color="auto" w:fill="FFFFFF" w:themeFill="background1"/>
          </w:tcPr>
          <w:p w14:paraId="4F7081B9" w14:textId="77777777" w:rsidR="00426E1B" w:rsidRPr="00426E1B" w:rsidRDefault="00426E1B" w:rsidP="00426E1B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426E1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Опазването на историческите, културните и социалните ценности на общината е акцент в стратегическите планови и програмни документи (ПИРО 2021-2027). В община Каспичан се намира НИАР „Плиска“, територията на общината обхваща Мадарското плато и граничи с НИАР „Мадара”, където се намира уникалният скален релеф на „Мадарският конник” обявен от ЮНЕСКО за паметник от световно значение и стойност. По инициатива на Кмета на общината е стартирано обсъждане на споразумение между Община Каспичан, Община Шумен и Община Велики Преслав за съвместни действия с цел  развитие на туристическия потенциал на региона и опазване на историческите, културните и социалните ценности в региона.</w:t>
            </w:r>
          </w:p>
          <w:p w14:paraId="0C10A879" w14:textId="2A2D6615" w:rsidR="00803A49" w:rsidRPr="00A71E31" w:rsidRDefault="00426E1B" w:rsidP="00426E1B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426E1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Акцент е организирането на фестивали, събития и инициативи в областта на културата, фолклора и местните традиции като ежегодно се изготвя план за културните прояви. Някои от културните прояви и събития в община Каспичан са: международен конкурс „Майстори на шеговития разказ -Зевзек“, национален събор „Дни на предците, Плиска, фестивал на суджука и младото вино, с. Кюлевча, Ден на моя град, многобройни културни прояви на читалищата на територията на общината.</w:t>
            </w:r>
          </w:p>
        </w:tc>
        <w:tc>
          <w:tcPr>
            <w:tcW w:w="2557" w:type="dxa"/>
            <w:shd w:val="clear" w:color="auto" w:fill="FFFFFF" w:themeFill="background1"/>
          </w:tcPr>
          <w:p w14:paraId="761BEA3E" w14:textId="215976CF" w:rsidR="00803A49" w:rsidRPr="008573D0" w:rsidRDefault="00A71E31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8028A5" w:rsidRPr="006E5A43" w14:paraId="0DF31D03" w14:textId="77777777" w:rsidTr="00426E1B">
        <w:tc>
          <w:tcPr>
            <w:tcW w:w="7372" w:type="dxa"/>
            <w:shd w:val="clear" w:color="auto" w:fill="E2EFD9" w:themeFill="accent6" w:themeFillTint="33"/>
          </w:tcPr>
          <w:p w14:paraId="2E0A1768" w14:textId="77777777" w:rsidR="008028A5" w:rsidRPr="006E5A43" w:rsidRDefault="008028A5" w:rsidP="006E5A4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5430B950" w14:textId="77777777" w:rsidR="008028A5" w:rsidRPr="006E5A43" w:rsidRDefault="008028A5" w:rsidP="006E5A4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9:</w:t>
            </w:r>
          </w:p>
          <w:p w14:paraId="6C42054E" w14:textId="77777777" w:rsidR="008028A5" w:rsidRPr="00A71E31" w:rsidRDefault="008028A5" w:rsidP="006E5A43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7944" w:type="dxa"/>
            <w:gridSpan w:val="2"/>
            <w:shd w:val="clear" w:color="auto" w:fill="E2EFD9" w:themeFill="accent6" w:themeFillTint="33"/>
          </w:tcPr>
          <w:p w14:paraId="3BD279F9" w14:textId="77777777" w:rsidR="008028A5" w:rsidRPr="00A71E31" w:rsidRDefault="008028A5" w:rsidP="006E5A43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  <w:p w14:paraId="149E0A05" w14:textId="1714CA99" w:rsidR="008028A5" w:rsidRPr="006E5A43" w:rsidRDefault="00A71E31" w:rsidP="006E5A43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F0379F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Заверка „без резерви“</w:t>
            </w:r>
          </w:p>
        </w:tc>
      </w:tr>
    </w:tbl>
    <w:p w14:paraId="42ACC299" w14:textId="77777777" w:rsidR="00246FD8" w:rsidRDefault="00246FD8"/>
    <w:sectPr w:rsidR="00246FD8" w:rsidSect="002825D5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31D26" w14:textId="77777777" w:rsidR="00D34E2A" w:rsidRDefault="00D34E2A" w:rsidP="00DE6DCB">
      <w:pPr>
        <w:spacing w:after="0" w:line="240" w:lineRule="auto"/>
      </w:pPr>
      <w:r>
        <w:separator/>
      </w:r>
    </w:p>
  </w:endnote>
  <w:endnote w:type="continuationSeparator" w:id="0">
    <w:p w14:paraId="44D2F91C" w14:textId="77777777" w:rsidR="00D34E2A" w:rsidRDefault="00D34E2A" w:rsidP="00DE6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93C0B" w14:textId="77777777" w:rsidR="00D34E2A" w:rsidRDefault="00D34E2A" w:rsidP="00DE6DCB">
      <w:pPr>
        <w:spacing w:after="0" w:line="240" w:lineRule="auto"/>
      </w:pPr>
      <w:r>
        <w:separator/>
      </w:r>
    </w:p>
  </w:footnote>
  <w:footnote w:type="continuationSeparator" w:id="0">
    <w:p w14:paraId="4D8F8609" w14:textId="77777777" w:rsidR="00D34E2A" w:rsidRDefault="00D34E2A" w:rsidP="00DE6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F1796" w14:textId="77777777" w:rsidR="00DE6DCB" w:rsidRPr="00DE6DCB" w:rsidRDefault="00DE6DCB" w:rsidP="00DE6DCB">
    <w:pPr>
      <w:pStyle w:val="Header"/>
      <w:jc w:val="right"/>
      <w:rPr>
        <w:rFonts w:ascii="Times New Roman" w:hAnsi="Times New Roman" w:cs="Times New Roman"/>
        <w:b/>
      </w:rPr>
    </w:pPr>
    <w:r w:rsidRPr="00DE6DCB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5D5"/>
    <w:rsid w:val="00112477"/>
    <w:rsid w:val="00246FD8"/>
    <w:rsid w:val="002535CC"/>
    <w:rsid w:val="002825D5"/>
    <w:rsid w:val="003C6DED"/>
    <w:rsid w:val="00426E1B"/>
    <w:rsid w:val="00497DFD"/>
    <w:rsid w:val="005C213F"/>
    <w:rsid w:val="00670F8A"/>
    <w:rsid w:val="006B4D78"/>
    <w:rsid w:val="006E5A43"/>
    <w:rsid w:val="00776C56"/>
    <w:rsid w:val="007B4010"/>
    <w:rsid w:val="008028A5"/>
    <w:rsid w:val="00803A49"/>
    <w:rsid w:val="00A71E31"/>
    <w:rsid w:val="00A829CA"/>
    <w:rsid w:val="00B15991"/>
    <w:rsid w:val="00BA7B65"/>
    <w:rsid w:val="00BF1C06"/>
    <w:rsid w:val="00C15AC1"/>
    <w:rsid w:val="00D34E2A"/>
    <w:rsid w:val="00D6329B"/>
    <w:rsid w:val="00DE6DCB"/>
    <w:rsid w:val="00E43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128A1"/>
  <w15:chartTrackingRefBased/>
  <w15:docId w15:val="{F52174CA-AE77-429F-8836-530905F9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5A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25D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5A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E6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6DCB"/>
  </w:style>
  <w:style w:type="paragraph" w:styleId="Footer">
    <w:name w:val="footer"/>
    <w:basedOn w:val="Normal"/>
    <w:link w:val="FooterChar"/>
    <w:uiPriority w:val="99"/>
    <w:unhideWhenUsed/>
    <w:rsid w:val="00DE6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6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1161</Words>
  <Characters>6623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7769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User</cp:lastModifiedBy>
  <cp:revision>16</cp:revision>
  <dcterms:created xsi:type="dcterms:W3CDTF">2022-07-05T11:09:00Z</dcterms:created>
  <dcterms:modified xsi:type="dcterms:W3CDTF">2025-06-04T10:31:00Z</dcterms:modified>
</cp:coreProperties>
</file>